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E" w:rsidRPr="00BF79FA" w:rsidRDefault="00371F3E" w:rsidP="00371F3E">
      <w:pPr>
        <w:pageBreakBefore/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hAnsi="Times New Roman" w:cs="Times New Roman"/>
          <w:b/>
          <w:bCs/>
          <w:sz w:val="28"/>
          <w:szCs w:val="28"/>
        </w:rPr>
        <w:t>ОБЩЕСТВЕННОЕ ПИТАНИЕ</w:t>
      </w:r>
    </w:p>
    <w:p w:rsidR="00371F3E" w:rsidRPr="00BF79FA" w:rsidRDefault="00371F3E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 w:rsidR="00D90ABF">
        <w:rPr>
          <w:rFonts w:ascii="Times New Roman" w:hAnsi="Times New Roman" w:cs="Times New Roman"/>
        </w:rPr>
        <w:t>янва</w:t>
      </w:r>
      <w:r w:rsidR="00D4702D">
        <w:rPr>
          <w:rFonts w:ascii="Times New Roman" w:hAnsi="Times New Roman" w:cs="Times New Roman"/>
        </w:rPr>
        <w:t>р</w:t>
      </w:r>
      <w:r w:rsidR="00F613B6"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</w:t>
      </w:r>
      <w:r w:rsidR="00D90ABF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года составил  </w:t>
      </w:r>
      <w:r w:rsidR="00AB41ED">
        <w:rPr>
          <w:rFonts w:ascii="Times New Roman" w:hAnsi="Times New Roman" w:cs="Times New Roman"/>
        </w:rPr>
        <w:t>1</w:t>
      </w:r>
      <w:r w:rsidR="00D90ABF">
        <w:rPr>
          <w:rFonts w:ascii="Times New Roman" w:hAnsi="Times New Roman" w:cs="Times New Roman"/>
        </w:rPr>
        <w:t>7</w:t>
      </w:r>
      <w:r w:rsidR="00AB41ED">
        <w:rPr>
          <w:rFonts w:ascii="Times New Roman" w:hAnsi="Times New Roman" w:cs="Times New Roman"/>
        </w:rPr>
        <w:t>,</w:t>
      </w:r>
      <w:r w:rsidR="00D90ABF">
        <w:rPr>
          <w:rFonts w:ascii="Times New Roman" w:hAnsi="Times New Roman" w:cs="Times New Roman"/>
        </w:rPr>
        <w:t>3</w:t>
      </w:r>
      <w:r w:rsidRPr="00BF79FA">
        <w:rPr>
          <w:rFonts w:ascii="Times New Roman" w:hAnsi="Times New Roman" w:cs="Times New Roman"/>
        </w:rPr>
        <w:t xml:space="preserve"> миллиард</w:t>
      </w:r>
      <w:r w:rsidR="00AB41ED">
        <w:rPr>
          <w:rFonts w:ascii="Times New Roman" w:hAnsi="Times New Roman" w:cs="Times New Roman"/>
        </w:rPr>
        <w:t>а</w:t>
      </w:r>
      <w:r w:rsidR="009A50B7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рублей, или </w:t>
      </w:r>
      <w:r w:rsidR="00F613B6">
        <w:rPr>
          <w:rFonts w:ascii="Times New Roman" w:hAnsi="Times New Roman" w:cs="Times New Roman"/>
        </w:rPr>
        <w:t>9</w:t>
      </w:r>
      <w:r w:rsidR="00D90ABF">
        <w:rPr>
          <w:rFonts w:ascii="Times New Roman" w:hAnsi="Times New Roman" w:cs="Times New Roman"/>
        </w:rPr>
        <w:t>2</w:t>
      </w:r>
      <w:r w:rsidR="00F613B6">
        <w:rPr>
          <w:rFonts w:ascii="Times New Roman" w:hAnsi="Times New Roman" w:cs="Times New Roman"/>
        </w:rPr>
        <w:t>,</w:t>
      </w:r>
      <w:r w:rsidR="00D90ABF">
        <w:rPr>
          <w:rFonts w:ascii="Times New Roman" w:hAnsi="Times New Roman" w:cs="Times New Roman"/>
        </w:rPr>
        <w:t>7</w:t>
      </w:r>
      <w:r w:rsidRPr="00BF79FA">
        <w:rPr>
          <w:rFonts w:ascii="Times New Roman" w:hAnsi="Times New Roman" w:cs="Times New Roman"/>
        </w:rPr>
        <w:t xml:space="preserve">  процент</w:t>
      </w:r>
      <w:r w:rsidR="00D90ABF">
        <w:rPr>
          <w:rFonts w:ascii="Times New Roman" w:hAnsi="Times New Roman" w:cs="Times New Roman"/>
        </w:rPr>
        <w:t>а</w:t>
      </w:r>
      <w:r w:rsidRPr="00BF79FA">
        <w:rPr>
          <w:rFonts w:ascii="Times New Roman" w:hAnsi="Times New Roman" w:cs="Times New Roman"/>
        </w:rPr>
        <w:t xml:space="preserve"> (в сопоставимых ценах) к </w:t>
      </w:r>
      <w:r w:rsidR="00D90ABF">
        <w:rPr>
          <w:rFonts w:ascii="Times New Roman" w:hAnsi="Times New Roman" w:cs="Times New Roman"/>
        </w:rPr>
        <w:t>янва</w:t>
      </w:r>
      <w:r w:rsidR="00D4702D">
        <w:rPr>
          <w:rFonts w:ascii="Times New Roman" w:hAnsi="Times New Roman" w:cs="Times New Roman"/>
        </w:rPr>
        <w:t>рю</w:t>
      </w:r>
      <w:r w:rsidRPr="00BF79FA">
        <w:rPr>
          <w:rFonts w:ascii="Times New Roman" w:hAnsi="Times New Roman" w:cs="Times New Roman"/>
        </w:rPr>
        <w:t xml:space="preserve"> 20</w:t>
      </w:r>
      <w:r w:rsidR="00D90ABF"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</w:rPr>
        <w:t xml:space="preserve"> года.</w:t>
      </w: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371F3E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общественного питания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CE4C25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5943600" cy="4552950"/>
            <wp:effectExtent l="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C25" w:rsidRDefault="00CE4C25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1F3E" w:rsidRPr="00F35782" w:rsidRDefault="00371F3E" w:rsidP="00371F3E">
      <w:pPr>
        <w:spacing w:line="240" w:lineRule="auto"/>
        <w:jc w:val="center"/>
      </w:pPr>
    </w:p>
    <w:p w:rsidR="00376D3F" w:rsidRDefault="005338A3" w:rsidP="005338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Структура оборота общественного питания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хозяйствующим субъектам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в январе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5338A3" w:rsidRDefault="005338A3" w:rsidP="005338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38A3" w:rsidRDefault="005338A3" w:rsidP="005338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8A3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433646" cy="3288323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38A3" w:rsidRDefault="005338A3" w:rsidP="005338A3">
      <w:pPr>
        <w:jc w:val="center"/>
      </w:pPr>
    </w:p>
    <w:sectPr w:rsidR="005338A3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3E"/>
    <w:rsid w:val="00106C8A"/>
    <w:rsid w:val="00285121"/>
    <w:rsid w:val="00360B9D"/>
    <w:rsid w:val="00371F3E"/>
    <w:rsid w:val="00376D3F"/>
    <w:rsid w:val="003F0564"/>
    <w:rsid w:val="004036F3"/>
    <w:rsid w:val="00411760"/>
    <w:rsid w:val="00490B58"/>
    <w:rsid w:val="005338A3"/>
    <w:rsid w:val="005C1C0F"/>
    <w:rsid w:val="00601BBE"/>
    <w:rsid w:val="00647472"/>
    <w:rsid w:val="00734698"/>
    <w:rsid w:val="00970277"/>
    <w:rsid w:val="009A50B7"/>
    <w:rsid w:val="009E6F44"/>
    <w:rsid w:val="00A46364"/>
    <w:rsid w:val="00AB41ED"/>
    <w:rsid w:val="00B82A46"/>
    <w:rsid w:val="00B916AE"/>
    <w:rsid w:val="00BF09FA"/>
    <w:rsid w:val="00C04E06"/>
    <w:rsid w:val="00C97AA5"/>
    <w:rsid w:val="00CA7D74"/>
    <w:rsid w:val="00CE4C25"/>
    <w:rsid w:val="00CE6922"/>
    <w:rsid w:val="00D4702D"/>
    <w:rsid w:val="00D90ABF"/>
    <w:rsid w:val="00D92750"/>
    <w:rsid w:val="00DA7B0E"/>
    <w:rsid w:val="00EF40EB"/>
    <w:rsid w:val="00F613B6"/>
    <w:rsid w:val="00F8761C"/>
    <w:rsid w:val="00F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221211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2020-2021 гг.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813E-2"/>
          <c:y val="0.14689022513796393"/>
          <c:w val="0.95447309945151004"/>
          <c:h val="0.6643267259374505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5.3804518830034134E-2"/>
                  <c:y val="-5.8680534787498496E-2"/>
                </c:manualLayout>
              </c:layout>
              <c:showVal val="1"/>
            </c:dLbl>
            <c:dLbl>
              <c:idx val="1"/>
              <c:layout>
                <c:manualLayout>
                  <c:x val="-5.1736943995412357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2.8971826930644477E-2"/>
                  <c:y val="-5.0776362915689564E-2"/>
                </c:manualLayout>
              </c:layout>
              <c:showVal val="1"/>
            </c:dLbl>
            <c:dLbl>
              <c:idx val="3"/>
              <c:layout>
                <c:manualLayout>
                  <c:x val="-7.6568294994762462E-2"/>
                  <c:y val="3.2161503568421616E-2"/>
                </c:manualLayout>
              </c:layout>
              <c:showVal val="1"/>
            </c:dLbl>
            <c:dLbl>
              <c:idx val="4"/>
              <c:layout>
                <c:manualLayout>
                  <c:x val="-3.3110473126174642E-2"/>
                  <c:y val="5.9166778491355432E-2"/>
                </c:manualLayout>
              </c:layout>
              <c:showVal val="1"/>
            </c:dLbl>
            <c:dLbl>
              <c:idx val="5"/>
              <c:layout>
                <c:manualLayout>
                  <c:x val="-1.2618446732619958E-2"/>
                  <c:y val="4.2300925773399681E-2"/>
                </c:manualLayout>
              </c:layout>
              <c:showVal val="1"/>
            </c:dLbl>
            <c:dLbl>
              <c:idx val="6"/>
              <c:layout>
                <c:manualLayout>
                  <c:x val="-2.8971663985402813E-2"/>
                  <c:y val="7.0844684959637125E-2"/>
                </c:manualLayout>
              </c:layout>
              <c:showVal val="1"/>
            </c:dLbl>
            <c:dLbl>
              <c:idx val="7"/>
              <c:layout>
                <c:manualLayout>
                  <c:x val="-2.6902259415016928E-2"/>
                  <c:y val="5.1165605804181884E-2"/>
                </c:manualLayout>
              </c:layout>
              <c:showVal val="1"/>
            </c:dLbl>
            <c:dLbl>
              <c:idx val="8"/>
              <c:layout>
                <c:manualLayout>
                  <c:x val="-3.3110473126174621E-2"/>
                  <c:y val="5.9037237466363857E-2"/>
                </c:manualLayout>
              </c:layout>
              <c:showVal val="1"/>
            </c:dLbl>
            <c:dLbl>
              <c:idx val="9"/>
              <c:layout>
                <c:manualLayout>
                  <c:x val="-4.3457495978104103E-2"/>
                  <c:y val="6.2973053297454465E-2"/>
                </c:manualLayout>
              </c:layout>
              <c:showVal val="1"/>
            </c:dLbl>
            <c:dLbl>
              <c:idx val="10"/>
              <c:layout>
                <c:manualLayout>
                  <c:x val="-2.9914529914529909E-2"/>
                  <c:y val="-3.905160390516043E-2"/>
                </c:manualLayout>
              </c:layout>
              <c:showVal val="1"/>
            </c:dLbl>
            <c:dLbl>
              <c:idx val="11"/>
              <c:layout>
                <c:manualLayout>
                  <c:x val="-2.5641025641025664E-2"/>
                  <c:y val="4.4630404463040479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2.510460251046025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108.3</c:v>
                </c:pt>
                <c:pt idx="1">
                  <c:v>110.1</c:v>
                </c:pt>
                <c:pt idx="2">
                  <c:v>99.7</c:v>
                </c:pt>
                <c:pt idx="3">
                  <c:v>33.6</c:v>
                </c:pt>
                <c:pt idx="4">
                  <c:v>35.800000000000011</c:v>
                </c:pt>
                <c:pt idx="5">
                  <c:v>56.9</c:v>
                </c:pt>
                <c:pt idx="6">
                  <c:v>86.4</c:v>
                </c:pt>
                <c:pt idx="7">
                  <c:v>91.1</c:v>
                </c:pt>
                <c:pt idx="8">
                  <c:v>96.7</c:v>
                </c:pt>
                <c:pt idx="9">
                  <c:v>96.9</c:v>
                </c:pt>
                <c:pt idx="10">
                  <c:v>98.1</c:v>
                </c:pt>
                <c:pt idx="11">
                  <c:v>90.1</c:v>
                </c:pt>
                <c:pt idx="12">
                  <c:v>92.7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4.1388091407718493E-3"/>
                  <c:y val="0.11807447493272714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1.1807447493272744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6.2082137111577722E-3"/>
                  <c:y val="0.10626702743945422"/>
                </c:manualLayout>
              </c:layout>
              <c:dLblPos val="t"/>
              <c:showVal val="1"/>
            </c:dLbl>
            <c:dLbl>
              <c:idx val="3"/>
              <c:dLblPos val="t"/>
              <c:showVal val="1"/>
            </c:dLbl>
            <c:dLbl>
              <c:idx val="4"/>
              <c:dLblPos val="t"/>
              <c:showVal val="1"/>
            </c:dLbl>
            <c:dLbl>
              <c:idx val="5"/>
              <c:layout>
                <c:manualLayout>
                  <c:x val="-1.2416427422315461E-2"/>
                  <c:y val="0"/>
                </c:manualLayout>
              </c:layout>
              <c:dLblPos val="t"/>
              <c:showVal val="1"/>
            </c:dLbl>
            <c:dLbl>
              <c:idx val="6"/>
              <c:dLblPos val="t"/>
              <c:showVal val="1"/>
            </c:dLbl>
            <c:dLbl>
              <c:idx val="7"/>
              <c:layout>
                <c:manualLayout>
                  <c:x val="-2.8971663985402796E-2"/>
                  <c:y val="-9.4459579946181704E-2"/>
                </c:manualLayout>
              </c:layout>
              <c:showVal val="1"/>
            </c:dLbl>
            <c:dLbl>
              <c:idx val="8"/>
              <c:layout>
                <c:manualLayout>
                  <c:x val="-3.1041068555788698E-2"/>
                  <c:y val="-6.6908869128545323E-2"/>
                </c:manualLayout>
              </c:layout>
              <c:showVal val="1"/>
            </c:dLbl>
            <c:dLbl>
              <c:idx val="9"/>
              <c:dLblPos val="t"/>
              <c:showVal val="1"/>
            </c:dLbl>
            <c:dLbl>
              <c:idx val="10"/>
              <c:layout>
                <c:manualLayout>
                  <c:x val="-3.2051282051282062E-2"/>
                  <c:y val="4.1841004184100403E-2"/>
                </c:manualLayout>
              </c:layout>
              <c:showVal val="1"/>
            </c:dLbl>
            <c:dLbl>
              <c:idx val="11"/>
              <c:layout>
                <c:manualLayout>
                  <c:x val="-1.709401709401711E-2"/>
                  <c:y val="-3.6262203626220339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3.3472803347280332E-2"/>
                </c:manualLayout>
              </c:layout>
              <c:showVal val="1"/>
            </c:dLbl>
            <c:showVal val="1"/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92.4</c:v>
                </c:pt>
                <c:pt idx="1">
                  <c:v>85.2</c:v>
                </c:pt>
                <c:pt idx="2">
                  <c:v>98</c:v>
                </c:pt>
                <c:pt idx="3">
                  <c:v>34.4</c:v>
                </c:pt>
                <c:pt idx="4">
                  <c:v>109.9</c:v>
                </c:pt>
                <c:pt idx="5">
                  <c:v>163.69999999999999</c:v>
                </c:pt>
                <c:pt idx="6">
                  <c:v>158.69999999999999</c:v>
                </c:pt>
                <c:pt idx="7">
                  <c:v>106.9</c:v>
                </c:pt>
                <c:pt idx="8">
                  <c:v>116.3</c:v>
                </c:pt>
                <c:pt idx="9">
                  <c:v>96.3</c:v>
                </c:pt>
                <c:pt idx="10">
                  <c:v>95.2</c:v>
                </c:pt>
                <c:pt idx="11" formatCode="0.0;[Red]0.0">
                  <c:v>104</c:v>
                </c:pt>
                <c:pt idx="12">
                  <c:v>95.3</c:v>
                </c:pt>
              </c:numCache>
            </c:numRef>
          </c:val>
        </c:ser>
        <c:marker val="1"/>
        <c:axId val="100845056"/>
        <c:axId val="100846592"/>
      </c:lineChart>
      <c:catAx>
        <c:axId val="100845056"/>
        <c:scaling>
          <c:orientation val="minMax"/>
        </c:scaling>
        <c:axPos val="b"/>
        <c:tickLblPos val="nextTo"/>
        <c:crossAx val="100846592"/>
        <c:crosses val="autoZero"/>
        <c:auto val="1"/>
        <c:lblAlgn val="ctr"/>
        <c:lblOffset val="100"/>
      </c:catAx>
      <c:valAx>
        <c:axId val="100846592"/>
        <c:scaling>
          <c:orientation val="minMax"/>
          <c:min val="0"/>
        </c:scaling>
        <c:delete val="1"/>
        <c:axPos val="l"/>
        <c:majorGridlines/>
        <c:numFmt formatCode="General" sourceLinked="1"/>
        <c:tickLblPos val="nextTo"/>
        <c:crossAx val="100845056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2.9649190300652002E-2"/>
          <c:y val="0.94590934560146289"/>
          <c:w val="0.9304546135996361"/>
          <c:h val="5.3896015807013017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12273011528539129"/>
          <c:y val="0.11623403679406805"/>
          <c:w val="0.7986111111111116"/>
          <c:h val="0.51934740123821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19"/>
          <c:dPt>
            <c:idx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5.7258238759021113E-2"/>
                  <c:y val="-0.292617848064195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0295219766760685E-3"/>
                  <c:y val="3.6679475623449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0,8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3130185514479612E-4"/>
                  <c:y val="-6.458003061134923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4723680373288371E-3"/>
                  <c:y val="-8.716776191717352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0335881223053232E-2"/>
                  <c:y val="3.3041148013396391E-3"/>
                </c:manualLayout>
              </c:layout>
              <c:showVal val="1"/>
            </c:dLbl>
            <c:numFmt formatCode="General" sourceLinked="0"/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73.5</c:v>
                </c:pt>
                <c:pt idx="1">
                  <c:v>1.1000000000000001</c:v>
                </c:pt>
                <c:pt idx="2">
                  <c:v>18.899999999999999</c:v>
                </c:pt>
                <c:pt idx="3">
                  <c:v>6.5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0.80591</cdr:x>
      <cdr:y>0.03387</cdr:y>
    </cdr:from>
    <cdr:to>
      <cdr:x>0.98069</cdr:x>
      <cdr:y>0.10874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378570" y="111369"/>
          <a:ext cx="949569" cy="246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11</cp:revision>
  <cp:lastPrinted>2020-12-14T12:42:00Z</cp:lastPrinted>
  <dcterms:created xsi:type="dcterms:W3CDTF">2021-01-25T06:47:00Z</dcterms:created>
  <dcterms:modified xsi:type="dcterms:W3CDTF">2021-02-16T07:45:00Z</dcterms:modified>
</cp:coreProperties>
</file>